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D4" w:rsidRPr="00C838D4" w:rsidRDefault="00C838D4" w:rsidP="00C838D4">
      <w:pPr>
        <w:keepNext/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838D4">
        <w:rPr>
          <w:rFonts w:ascii="Times New Roman" w:eastAsia="Calibri" w:hAnsi="Times New Roman" w:cs="Times New Roman"/>
          <w:sz w:val="24"/>
          <w:szCs w:val="24"/>
        </w:rPr>
        <w:t xml:space="preserve">INFORMACJA O OGÓLNEJ LICZBIE AKCJI W SPÓŁCE I LICZBIE GŁOSÓW Z TYCH AKCJI W DNIU OGŁOSZENIA </w:t>
      </w:r>
      <w:r w:rsidR="000A5CAF">
        <w:rPr>
          <w:rFonts w:ascii="Times New Roman" w:eastAsia="Calibri" w:hAnsi="Times New Roman" w:cs="Times New Roman"/>
          <w:sz w:val="24"/>
          <w:szCs w:val="24"/>
        </w:rPr>
        <w:t>NAD</w:t>
      </w:r>
      <w:r w:rsidRPr="00C838D4">
        <w:rPr>
          <w:rFonts w:ascii="Times New Roman" w:eastAsia="Calibri" w:hAnsi="Times New Roman" w:cs="Times New Roman"/>
          <w:sz w:val="24"/>
          <w:szCs w:val="24"/>
        </w:rPr>
        <w:t>ZWYCZAJNEGO WALNEGO ZGROMADZENIA</w:t>
      </w:r>
    </w:p>
    <w:p w:rsidR="0088747D" w:rsidRDefault="0088747D" w:rsidP="0088747D">
      <w:pPr>
        <w:jc w:val="both"/>
        <w:rPr>
          <w:b/>
        </w:rPr>
      </w:pPr>
    </w:p>
    <w:p w:rsidR="0088747D" w:rsidRDefault="0088747D" w:rsidP="0088747D">
      <w:pPr>
        <w:jc w:val="both"/>
        <w:rPr>
          <w:b/>
        </w:rPr>
      </w:pPr>
    </w:p>
    <w:p w:rsidR="0088747D" w:rsidRDefault="0088747D" w:rsidP="0088747D">
      <w:pPr>
        <w:jc w:val="both"/>
        <w:rPr>
          <w:b/>
        </w:rPr>
      </w:pPr>
    </w:p>
    <w:p w:rsidR="00E43BC2" w:rsidRPr="0088747D" w:rsidRDefault="009E770D" w:rsidP="008874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8747D">
        <w:rPr>
          <w:rFonts w:ascii="Times New Roman" w:hAnsi="Times New Roman" w:cs="Times New Roman"/>
          <w:b/>
          <w:sz w:val="32"/>
          <w:szCs w:val="32"/>
        </w:rPr>
        <w:t>Ogólna liczba akcji w spółce Harper Hygienics S.A wynosi  63.670.000 akcji zwykłych na okaziciela, które reprezentują ogółem 63.670.000 głosów na walnym zgromadzeniu Spółki.</w:t>
      </w:r>
    </w:p>
    <w:sectPr w:rsidR="00E43BC2" w:rsidRPr="0088747D" w:rsidSect="0045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0D"/>
    <w:rsid w:val="000A5CAF"/>
    <w:rsid w:val="00457251"/>
    <w:rsid w:val="004E7C34"/>
    <w:rsid w:val="0088747D"/>
    <w:rsid w:val="009E770D"/>
    <w:rsid w:val="00AA62DD"/>
    <w:rsid w:val="00C24E19"/>
    <w:rsid w:val="00C838D4"/>
    <w:rsid w:val="00D12104"/>
    <w:rsid w:val="00D91309"/>
    <w:rsid w:val="00E43BC2"/>
    <w:rsid w:val="00F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8ED9D-E04C-4C53-89F3-1160360E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Kamila Muśnicka</cp:lastModifiedBy>
  <cp:revision>3</cp:revision>
  <cp:lastPrinted>2013-04-11T11:52:00Z</cp:lastPrinted>
  <dcterms:created xsi:type="dcterms:W3CDTF">2017-02-16T13:59:00Z</dcterms:created>
  <dcterms:modified xsi:type="dcterms:W3CDTF">2017-10-03T13:49:00Z</dcterms:modified>
</cp:coreProperties>
</file>